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shd w:val="clear" w:fill="FFFFFF"/>
        <w:kinsoku/>
        <w:overflowPunct/>
        <w:topLinePunct w:val="0"/>
        <w:autoSpaceDE/>
        <w:autoSpaceDN/>
        <w:bidi w:val="0"/>
        <w:adjustRightInd/>
        <w:snapToGrid/>
        <w:spacing w:beforeAutospacing="0" w:afterAutospacing="0" w:line="240" w:lineRule="auto"/>
        <w:ind w:left="0" w:leftChars="0" w:right="0" w:rightChars="0" w:firstLine="0"/>
        <w:jc w:val="center"/>
        <w:textAlignment w:val="auto"/>
        <w:outlineLvl w:val="9"/>
        <w:rPr>
          <w:rFonts w:hint="eastAsia" w:ascii="黑体" w:hAnsi="黑体" w:eastAsia="黑体" w:cs="黑体"/>
          <w:b/>
          <w:i w:val="0"/>
          <w:caps w:val="0"/>
          <w:color w:val="auto"/>
          <w:spacing w:val="0"/>
          <w:sz w:val="36"/>
          <w:szCs w:val="36"/>
        </w:rPr>
      </w:pPr>
      <w:r>
        <w:rPr>
          <w:rFonts w:hint="eastAsia" w:ascii="黑体" w:hAnsi="黑体" w:eastAsia="黑体" w:cs="黑体"/>
          <w:b/>
          <w:i w:val="0"/>
          <w:caps w:val="0"/>
          <w:color w:val="auto"/>
          <w:spacing w:val="0"/>
          <w:kern w:val="0"/>
          <w:sz w:val="36"/>
          <w:szCs w:val="36"/>
          <w:shd w:val="clear" w:fill="FFFFFF"/>
          <w:lang w:val="en-US" w:eastAsia="zh-CN" w:bidi="ar"/>
        </w:rPr>
        <w:t>证券公司风险控制指标动态监控系统指引</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b w:val="0"/>
          <w:bCs/>
          <w:sz w:val="24"/>
          <w:szCs w:val="24"/>
        </w:rPr>
      </w:pPr>
      <w:r>
        <w:rPr>
          <w:rFonts w:hint="eastAsia" w:ascii="仿宋" w:hAnsi="仿宋" w:eastAsia="仿宋" w:cs="仿宋"/>
          <w:b w:val="0"/>
          <w:bCs/>
          <w:i w:val="0"/>
          <w:caps w:val="0"/>
          <w:color w:val="000000"/>
          <w:spacing w:val="0"/>
          <w:kern w:val="0"/>
          <w:sz w:val="24"/>
          <w:szCs w:val="24"/>
          <w:shd w:val="clear" w:fill="FFFFFF"/>
          <w:lang w:val="en-US" w:eastAsia="zh-CN" w:bidi="ar"/>
        </w:rPr>
        <w:t>（协会第五届理事会第二十次会议审议通过，2016年12月30日发布）</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b/>
          <w:i w:val="0"/>
          <w:caps w:val="0"/>
          <w:color w:val="000000"/>
          <w:spacing w:val="0"/>
          <w:kern w:val="0"/>
          <w:sz w:val="30"/>
          <w:szCs w:val="30"/>
          <w:shd w:val="clear" w:fill="FFFFFF"/>
          <w:lang w:val="en-US" w:eastAsia="zh-CN" w:bidi="ar"/>
        </w:rPr>
      </w:pP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第一章  总则</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7"/>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第一条 </w:t>
      </w:r>
      <w:r>
        <w:rPr>
          <w:rFonts w:hint="eastAsia" w:ascii="仿宋" w:hAnsi="仿宋" w:eastAsia="仿宋" w:cs="仿宋"/>
          <w:b w:val="0"/>
          <w:i w:val="0"/>
          <w:caps w:val="0"/>
          <w:color w:val="000000"/>
          <w:spacing w:val="0"/>
          <w:kern w:val="0"/>
          <w:sz w:val="30"/>
          <w:szCs w:val="30"/>
          <w:shd w:val="clear" w:fill="FFFFFF"/>
          <w:lang w:val="en-US" w:eastAsia="zh-CN" w:bidi="ar"/>
        </w:rPr>
        <w:t>为了督促证券公司建立健全风险控制指标动态监控机制，加强风险监控，在风险可测、可控、可承受前提下开展各项业务，根据《证券公司风险控制指标管理办法》、《证券公司全面风险管理规范》等法律法规和自律规则，制定本指引。</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7"/>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第二条</w:t>
      </w:r>
      <w:r>
        <w:rPr>
          <w:rFonts w:hint="eastAsia" w:ascii="仿宋" w:hAnsi="仿宋" w:eastAsia="仿宋" w:cs="仿宋"/>
          <w:b w:val="0"/>
          <w:i w:val="0"/>
          <w:caps w:val="0"/>
          <w:color w:val="000000"/>
          <w:spacing w:val="0"/>
          <w:kern w:val="0"/>
          <w:sz w:val="30"/>
          <w:szCs w:val="30"/>
          <w:shd w:val="clear" w:fill="FFFFFF"/>
          <w:lang w:val="en-US" w:eastAsia="zh-CN" w:bidi="ar"/>
        </w:rPr>
        <w:t> 证券公司应当建立风险控制指标动态监控系统（以下简称动态监控系统），实现净资本和流动性等风险控制指标的动态监控和自动预警。</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7"/>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第三条</w:t>
      </w:r>
      <w:r>
        <w:rPr>
          <w:rFonts w:hint="eastAsia" w:ascii="仿宋" w:hAnsi="仿宋" w:eastAsia="仿宋" w:cs="仿宋"/>
          <w:b w:val="0"/>
          <w:i w:val="0"/>
          <w:caps w:val="0"/>
          <w:color w:val="000000"/>
          <w:spacing w:val="0"/>
          <w:kern w:val="0"/>
          <w:sz w:val="30"/>
          <w:szCs w:val="30"/>
          <w:shd w:val="clear" w:fill="FFFFFF"/>
          <w:lang w:val="en-US" w:eastAsia="zh-CN" w:bidi="ar"/>
        </w:rPr>
        <w:t> 动态监控系统至少具备以下功能：能够覆盖影响净资本和流动性等风险控制指标的各项业务数据，能够动态计算净资本和流动性等各项风险控制指标，能够按照预先设定的阀值和监控标准对净资本和流动性等风险控制指标进行自动预警；能够生成净资本和流动性等风险控制指标动态监控报表。</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7"/>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第四条</w:t>
      </w:r>
      <w:r>
        <w:rPr>
          <w:rFonts w:hint="eastAsia" w:ascii="仿宋" w:hAnsi="仿宋" w:eastAsia="仿宋" w:cs="仿宋"/>
          <w:b w:val="0"/>
          <w:i w:val="0"/>
          <w:caps w:val="0"/>
          <w:color w:val="000000"/>
          <w:spacing w:val="0"/>
          <w:kern w:val="0"/>
          <w:sz w:val="30"/>
          <w:szCs w:val="30"/>
          <w:shd w:val="clear" w:fill="FFFFFF"/>
          <w:lang w:val="en-US" w:eastAsia="zh-CN" w:bidi="ar"/>
        </w:rPr>
        <w:t> 证券公司应将动态监控系统的有效性评估纳入内部控制有效性评价，并根据市场、业务发展、技术、监管环境的变化适时调整和完善，确保系统数据完整、功能完备、运行正常、相关制度健全，能有效支持证券公司风险控制指标监控工作。</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both"/>
        <w:textAlignment w:val="auto"/>
        <w:outlineLvl w:val="9"/>
        <w:rPr>
          <w:rFonts w:hint="eastAsia" w:ascii="仿宋" w:hAnsi="仿宋" w:eastAsia="仿宋" w:cs="仿宋"/>
          <w:b/>
          <w:i w:val="0"/>
          <w:caps w:val="0"/>
          <w:color w:val="000000"/>
          <w:spacing w:val="0"/>
          <w:kern w:val="0"/>
          <w:sz w:val="30"/>
          <w:szCs w:val="30"/>
          <w:shd w:val="clear" w:fill="FFFFFF"/>
          <w:lang w:val="en-US" w:eastAsia="zh-CN" w:bidi="ar"/>
        </w:rPr>
      </w:pP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第二章 系统的组织与制度保障</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7"/>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第五条</w:t>
      </w:r>
      <w:r>
        <w:rPr>
          <w:rFonts w:hint="eastAsia" w:ascii="仿宋" w:hAnsi="仿宋" w:eastAsia="仿宋" w:cs="仿宋"/>
          <w:b w:val="0"/>
          <w:i w:val="0"/>
          <w:caps w:val="0"/>
          <w:color w:val="000000"/>
          <w:spacing w:val="0"/>
          <w:kern w:val="0"/>
          <w:sz w:val="30"/>
          <w:szCs w:val="30"/>
          <w:shd w:val="clear" w:fill="FFFFFF"/>
          <w:lang w:val="en-US" w:eastAsia="zh-CN" w:bidi="ar"/>
        </w:rPr>
        <w:t> 证券公司应建立健全风险控制指标动态监控工作的组织体系，指定相应的高级管理人员负责管理动态监控系统的建设与运行，指定相关部门负责动态监控系统的设计开发、运行管理、系统维护等工作。</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7"/>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第六条</w:t>
      </w:r>
      <w:r>
        <w:rPr>
          <w:rFonts w:hint="eastAsia" w:ascii="仿宋" w:hAnsi="仿宋" w:eastAsia="仿宋" w:cs="仿宋"/>
          <w:b w:val="0"/>
          <w:i w:val="0"/>
          <w:caps w:val="0"/>
          <w:color w:val="000000"/>
          <w:spacing w:val="0"/>
          <w:kern w:val="0"/>
          <w:sz w:val="30"/>
          <w:szCs w:val="30"/>
          <w:shd w:val="clear" w:fill="FFFFFF"/>
          <w:lang w:val="en-US" w:eastAsia="zh-CN" w:bidi="ar"/>
        </w:rPr>
        <w:t> 证券公司应建立健全动态监控系统的相关规章制度，明确有关部门的职责、技术规范、操作规程、报告要求等。建立健全岗位分离和监督制约机制，对动态监控系统用户实行适当的授权管理。</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7"/>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第七条 </w:t>
      </w:r>
      <w:r>
        <w:rPr>
          <w:rFonts w:hint="eastAsia" w:ascii="仿宋" w:hAnsi="仿宋" w:eastAsia="仿宋" w:cs="仿宋"/>
          <w:b w:val="0"/>
          <w:i w:val="0"/>
          <w:caps w:val="0"/>
          <w:color w:val="000000"/>
          <w:spacing w:val="0"/>
          <w:kern w:val="0"/>
          <w:sz w:val="30"/>
          <w:szCs w:val="30"/>
          <w:shd w:val="clear" w:fill="FFFFFF"/>
          <w:lang w:val="en-US" w:eastAsia="zh-CN" w:bidi="ar"/>
        </w:rPr>
        <w:t>证券公司应当指定独立于业务的部门牵头负责动态监控系统的建设、运行，并履行以下职责：</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4"/>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（一）会同相关部门研究并协调解决动态监控系统建设、运行、维护等工作中的问题；</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4"/>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（二）负责或督促相关部门完成动态监控系统所需数据的采集、录入、整理，并实施动态监控，编制动态风险监控报告等；</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4"/>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（三）负责对动态监控系统进行后续检查。</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7"/>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第八条</w:t>
      </w:r>
      <w:r>
        <w:rPr>
          <w:rFonts w:hint="eastAsia" w:ascii="仿宋" w:hAnsi="仿宋" w:eastAsia="仿宋" w:cs="仿宋"/>
          <w:b w:val="0"/>
          <w:i w:val="0"/>
          <w:caps w:val="0"/>
          <w:color w:val="000000"/>
          <w:spacing w:val="0"/>
          <w:kern w:val="0"/>
          <w:sz w:val="30"/>
          <w:szCs w:val="30"/>
          <w:shd w:val="clear" w:fill="FFFFFF"/>
          <w:lang w:val="en-US" w:eastAsia="zh-CN" w:bidi="ar"/>
        </w:rPr>
        <w:t> 证券公司应指定相关人员负责动态监控系统的操作、运维和监控，相关人员应当具备必要的专业知识和工作经验，证券公司应组织对动态监控系统的运作和维护人员进行相关的业务、技术和安全培训。</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7"/>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第九条</w:t>
      </w:r>
      <w:r>
        <w:rPr>
          <w:rFonts w:hint="eastAsia" w:ascii="仿宋" w:hAnsi="仿宋" w:eastAsia="仿宋" w:cs="仿宋"/>
          <w:b w:val="0"/>
          <w:i w:val="0"/>
          <w:caps w:val="0"/>
          <w:color w:val="000000"/>
          <w:spacing w:val="0"/>
          <w:kern w:val="0"/>
          <w:sz w:val="30"/>
          <w:szCs w:val="30"/>
          <w:shd w:val="clear" w:fill="FFFFFF"/>
          <w:lang w:val="en-US" w:eastAsia="zh-CN" w:bidi="ar"/>
        </w:rPr>
        <w:t> 证券公司应当制定相应管理制度，明确数据采集的录入依据、口径、复核规程，特别是人工维护数据的录入规范，防止因数据录入不及时、不准确导致相关风险控制指标计算出现较大误差。</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7"/>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第十条</w:t>
      </w:r>
      <w:r>
        <w:rPr>
          <w:rFonts w:hint="eastAsia" w:ascii="仿宋" w:hAnsi="仿宋" w:eastAsia="仿宋" w:cs="仿宋"/>
          <w:b w:val="0"/>
          <w:i w:val="0"/>
          <w:caps w:val="0"/>
          <w:color w:val="000000"/>
          <w:spacing w:val="0"/>
          <w:kern w:val="0"/>
          <w:sz w:val="30"/>
          <w:szCs w:val="30"/>
          <w:shd w:val="clear" w:fill="FFFFFF"/>
          <w:lang w:val="en-US" w:eastAsia="zh-CN" w:bidi="ar"/>
        </w:rPr>
        <w:t> 证券公司应当制定风险控制指标分级预警及跟踪制度，主要内容包括：</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4"/>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（一）根据公司的实际情况确定对各类风险控制指标进行分级预警的具体标准，最低预警标准应等于或严于监管要求的预警标准；</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4"/>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（二）不同级别预警信息的报告对象、方式和流程；</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4"/>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（三）公司相关管理人员对所收到的风险预警报告的处理责任及响应时限，风险预警报告中涉及的风险事项处理的跟踪监控责任；</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4"/>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（四）风险事项处理情况、报告与反馈的流程。</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7"/>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第十一条 </w:t>
      </w:r>
      <w:r>
        <w:rPr>
          <w:rFonts w:hint="eastAsia" w:ascii="仿宋" w:hAnsi="仿宋" w:eastAsia="仿宋" w:cs="仿宋"/>
          <w:b w:val="0"/>
          <w:i w:val="0"/>
          <w:caps w:val="0"/>
          <w:color w:val="000000"/>
          <w:spacing w:val="0"/>
          <w:kern w:val="0"/>
          <w:sz w:val="30"/>
          <w:szCs w:val="30"/>
          <w:shd w:val="clear" w:fill="FFFFFF"/>
          <w:lang w:val="en-US" w:eastAsia="zh-CN" w:bidi="ar"/>
        </w:rPr>
        <w:t>证券公司应当建立健全风险控制指标监控档案制度，对监控档案的保存期限进行规范，监控档案保存期限应不低于10年。</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4"/>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监控档案包括但不限于动态监控日志、动态监控数据、动态监控报告等。</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both"/>
        <w:textAlignment w:val="auto"/>
        <w:outlineLvl w:val="9"/>
        <w:rPr>
          <w:rFonts w:hint="eastAsia" w:ascii="仿宋" w:hAnsi="仿宋" w:eastAsia="仿宋" w:cs="仿宋"/>
          <w:b/>
          <w:i w:val="0"/>
          <w:caps w:val="0"/>
          <w:color w:val="000000"/>
          <w:spacing w:val="0"/>
          <w:kern w:val="0"/>
          <w:sz w:val="30"/>
          <w:szCs w:val="30"/>
          <w:shd w:val="clear" w:fill="FFFFFF"/>
          <w:lang w:val="en-US" w:eastAsia="zh-CN" w:bidi="ar"/>
        </w:rPr>
      </w:pP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right="0" w:rightChars="0"/>
        <w:jc w:val="center"/>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第三章 系统运行</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7"/>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第十二条</w:t>
      </w:r>
      <w:r>
        <w:rPr>
          <w:rFonts w:hint="eastAsia" w:ascii="仿宋" w:hAnsi="仿宋" w:eastAsia="仿宋" w:cs="仿宋"/>
          <w:b w:val="0"/>
          <w:i w:val="0"/>
          <w:caps w:val="0"/>
          <w:color w:val="000000"/>
          <w:spacing w:val="0"/>
          <w:kern w:val="0"/>
          <w:sz w:val="30"/>
          <w:szCs w:val="30"/>
          <w:shd w:val="clear" w:fill="FFFFFF"/>
          <w:lang w:val="en-US" w:eastAsia="zh-CN" w:bidi="ar"/>
        </w:rPr>
        <w:t> 证券公司应确保动态监控系统稳定、安全、高效运行。</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7"/>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第十三条</w:t>
      </w:r>
      <w:r>
        <w:rPr>
          <w:rFonts w:hint="eastAsia" w:ascii="仿宋" w:hAnsi="仿宋" w:eastAsia="仿宋" w:cs="仿宋"/>
          <w:b w:val="0"/>
          <w:i w:val="0"/>
          <w:caps w:val="0"/>
          <w:color w:val="000000"/>
          <w:spacing w:val="0"/>
          <w:kern w:val="0"/>
          <w:sz w:val="30"/>
          <w:szCs w:val="30"/>
          <w:shd w:val="clear" w:fill="FFFFFF"/>
          <w:lang w:val="en-US" w:eastAsia="zh-CN" w:bidi="ar"/>
        </w:rPr>
        <w:t> 动态监控系统应能够对净资本和流动性等风险控制指标进行动态性的测算和报告，每日形成相关报表。</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7"/>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第十四条</w:t>
      </w:r>
      <w:r>
        <w:rPr>
          <w:rFonts w:hint="eastAsia" w:ascii="仿宋" w:hAnsi="仿宋" w:eastAsia="仿宋" w:cs="仿宋"/>
          <w:b w:val="0"/>
          <w:i w:val="0"/>
          <w:caps w:val="0"/>
          <w:color w:val="000000"/>
          <w:spacing w:val="0"/>
          <w:kern w:val="0"/>
          <w:sz w:val="30"/>
          <w:szCs w:val="30"/>
          <w:shd w:val="clear" w:fill="FFFFFF"/>
          <w:lang w:val="en-US" w:eastAsia="zh-CN" w:bidi="ar"/>
        </w:rPr>
        <w:t> 证券公司应根据设定的分级预警标准在动态监控系统中设置相应的风险监控阀值，通过系统的预警触发装置自动显示并发送预警信息。</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7"/>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第十五条</w:t>
      </w:r>
      <w:r>
        <w:rPr>
          <w:rFonts w:hint="eastAsia" w:ascii="仿宋" w:hAnsi="仿宋" w:eastAsia="仿宋" w:cs="仿宋"/>
          <w:b w:val="0"/>
          <w:i w:val="0"/>
          <w:caps w:val="0"/>
          <w:color w:val="000000"/>
          <w:spacing w:val="0"/>
          <w:kern w:val="0"/>
          <w:sz w:val="30"/>
          <w:szCs w:val="30"/>
          <w:shd w:val="clear" w:fill="FFFFFF"/>
          <w:lang w:val="en-US" w:eastAsia="zh-CN" w:bidi="ar"/>
        </w:rPr>
        <w:t> 证券公司应通过动态监控系统采集财务数据、交易清算数据以及其他相关数据，对可以实现系统对接的数据应进行自动采集，对不能由系统自动采集的或由于不可预料情况导致自动采集失败的数据，相关部门应安排专人负责手工数据的及时准确录入，并保留录入数据来源的原始资料。</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4"/>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证券公司应加强对动态监控系统所采集的数据的检查及校验。</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7"/>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第十六条</w:t>
      </w:r>
      <w:r>
        <w:rPr>
          <w:rFonts w:hint="eastAsia" w:ascii="仿宋" w:hAnsi="仿宋" w:eastAsia="仿宋" w:cs="仿宋"/>
          <w:b w:val="0"/>
          <w:i w:val="0"/>
          <w:caps w:val="0"/>
          <w:color w:val="000000"/>
          <w:spacing w:val="0"/>
          <w:kern w:val="0"/>
          <w:sz w:val="30"/>
          <w:szCs w:val="30"/>
          <w:shd w:val="clear" w:fill="FFFFFF"/>
          <w:lang w:val="en-US" w:eastAsia="zh-CN" w:bidi="ar"/>
        </w:rPr>
        <w:t> 动态监控系统应设置并开启系统留痕功能，确保动态监控日志的完备性。</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4"/>
        <w:jc w:val="both"/>
        <w:textAlignment w:val="auto"/>
        <w:outlineLvl w:val="9"/>
        <w:rPr>
          <w:rFonts w:hint="eastAsia" w:ascii="仿宋" w:hAnsi="仿宋" w:eastAsia="仿宋" w:cs="仿宋"/>
          <w:sz w:val="30"/>
          <w:szCs w:val="30"/>
        </w:rPr>
      </w:pPr>
      <w:r>
        <w:rPr>
          <w:rFonts w:hint="eastAsia" w:ascii="仿宋" w:hAnsi="仿宋" w:eastAsia="仿宋" w:cs="仿宋"/>
          <w:b w:val="0"/>
          <w:i w:val="0"/>
          <w:caps w:val="0"/>
          <w:color w:val="000000"/>
          <w:spacing w:val="0"/>
          <w:kern w:val="0"/>
          <w:sz w:val="30"/>
          <w:szCs w:val="30"/>
          <w:shd w:val="clear" w:fill="FFFFFF"/>
          <w:lang w:val="en-US" w:eastAsia="zh-CN" w:bidi="ar"/>
        </w:rPr>
        <w:t>日志包括操作日志和系统日志，操作日志内容包括用户登录尝试、手工数据录入、手工数据修改等。系统日志内容包括管理登录尝试、系统事件、网络事件、错误信息等。</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7"/>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第十七条</w:t>
      </w:r>
      <w:r>
        <w:rPr>
          <w:rFonts w:hint="eastAsia" w:ascii="仿宋" w:hAnsi="仿宋" w:eastAsia="仿宋" w:cs="仿宋"/>
          <w:b w:val="0"/>
          <w:i w:val="0"/>
          <w:caps w:val="0"/>
          <w:color w:val="000000"/>
          <w:spacing w:val="0"/>
          <w:kern w:val="0"/>
          <w:sz w:val="30"/>
          <w:szCs w:val="30"/>
          <w:shd w:val="clear" w:fill="FFFFFF"/>
          <w:lang w:val="en-US" w:eastAsia="zh-CN" w:bidi="ar"/>
        </w:rPr>
        <w:t> 动态监控系统处理时间应统一为：T日数据，T+1日完成填报，并能够动态显示和监控（T为交易日）。</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7"/>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第十八条</w:t>
      </w:r>
      <w:r>
        <w:rPr>
          <w:rFonts w:hint="eastAsia" w:ascii="仿宋" w:hAnsi="仿宋" w:eastAsia="仿宋" w:cs="仿宋"/>
          <w:b w:val="0"/>
          <w:i w:val="0"/>
          <w:caps w:val="0"/>
          <w:color w:val="000000"/>
          <w:spacing w:val="0"/>
          <w:kern w:val="0"/>
          <w:sz w:val="30"/>
          <w:szCs w:val="30"/>
          <w:shd w:val="clear" w:fill="FFFFFF"/>
          <w:lang w:val="en-US" w:eastAsia="zh-CN" w:bidi="ar"/>
        </w:rPr>
        <w:t> 证券公司应加强对动态监控系统的权限和密码管理，用户权限的设置、变动以及密码的修改应有严格的控制措施并保留完整的记录。</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7"/>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第十九条 </w:t>
      </w:r>
      <w:r>
        <w:rPr>
          <w:rFonts w:hint="eastAsia" w:ascii="仿宋" w:hAnsi="仿宋" w:eastAsia="仿宋" w:cs="仿宋"/>
          <w:b w:val="0"/>
          <w:i w:val="0"/>
          <w:caps w:val="0"/>
          <w:color w:val="000000"/>
          <w:spacing w:val="0"/>
          <w:kern w:val="0"/>
          <w:sz w:val="30"/>
          <w:szCs w:val="30"/>
          <w:shd w:val="clear" w:fill="FFFFFF"/>
          <w:lang w:val="en-US" w:eastAsia="zh-CN" w:bidi="ar"/>
        </w:rPr>
        <w:t>动态监控系统应具备可扩展性，以适应监管要求的变化、业务范围的增加和数据量的增长，并保留系统历史纪录。</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b/>
          <w:i w:val="0"/>
          <w:caps w:val="0"/>
          <w:color w:val="000000"/>
          <w:spacing w:val="0"/>
          <w:kern w:val="0"/>
          <w:sz w:val="30"/>
          <w:szCs w:val="30"/>
          <w:shd w:val="clear" w:fill="FFFFFF"/>
          <w:lang w:val="en-US" w:eastAsia="zh-CN" w:bidi="ar"/>
        </w:rPr>
      </w:pP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jc w:val="center"/>
        <w:textAlignment w:val="auto"/>
        <w:outlineLvl w:val="9"/>
        <w:rPr>
          <w:rFonts w:hint="eastAsia" w:ascii="仿宋" w:hAnsi="仿宋" w:eastAsia="仿宋" w:cs="仿宋"/>
          <w:sz w:val="30"/>
          <w:szCs w:val="30"/>
        </w:rPr>
      </w:pPr>
      <w:bookmarkStart w:id="0" w:name="_GoBack"/>
      <w:r>
        <w:rPr>
          <w:rFonts w:hint="eastAsia" w:ascii="仿宋" w:hAnsi="仿宋" w:eastAsia="仿宋" w:cs="仿宋"/>
          <w:b/>
          <w:i w:val="0"/>
          <w:caps w:val="0"/>
          <w:color w:val="000000"/>
          <w:spacing w:val="0"/>
          <w:kern w:val="0"/>
          <w:sz w:val="30"/>
          <w:szCs w:val="30"/>
          <w:shd w:val="clear" w:fill="FFFFFF"/>
          <w:lang w:val="en-US" w:eastAsia="zh-CN" w:bidi="ar"/>
        </w:rPr>
        <w:t>第四章  附则</w:t>
      </w:r>
    </w:p>
    <w:bookmarkEnd w:id="0"/>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7"/>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第二十条</w:t>
      </w:r>
      <w:r>
        <w:rPr>
          <w:rFonts w:hint="eastAsia" w:ascii="仿宋" w:hAnsi="仿宋" w:eastAsia="仿宋" w:cs="仿宋"/>
          <w:b w:val="0"/>
          <w:i w:val="0"/>
          <w:caps w:val="0"/>
          <w:color w:val="000000"/>
          <w:spacing w:val="0"/>
          <w:kern w:val="0"/>
          <w:sz w:val="30"/>
          <w:szCs w:val="30"/>
          <w:shd w:val="clear" w:fill="FFFFFF"/>
          <w:lang w:val="en-US" w:eastAsia="zh-CN" w:bidi="ar"/>
        </w:rPr>
        <w:t>  本指引由中国证券业协会负责解释。</w:t>
      </w:r>
    </w:p>
    <w:p>
      <w:pPr>
        <w:keepNext w:val="0"/>
        <w:keepLines w:val="0"/>
        <w:pageBreakBefore w:val="0"/>
        <w:widowControl w:val="0"/>
        <w:suppressLineNumbers w:val="0"/>
        <w:kinsoku/>
        <w:wordWrap w:val="0"/>
        <w:overflowPunct/>
        <w:topLinePunct w:val="0"/>
        <w:autoSpaceDE/>
        <w:autoSpaceDN/>
        <w:bidi w:val="0"/>
        <w:adjustRightInd/>
        <w:snapToGrid/>
        <w:spacing w:beforeAutospacing="0" w:afterAutospacing="0" w:line="240" w:lineRule="auto"/>
        <w:ind w:left="0" w:leftChars="0" w:right="0" w:rightChars="0" w:firstLine="707"/>
        <w:jc w:val="both"/>
        <w:textAlignment w:val="auto"/>
        <w:outlineLvl w:val="9"/>
        <w:rPr>
          <w:rFonts w:hint="eastAsia" w:ascii="仿宋" w:hAnsi="仿宋" w:eastAsia="仿宋" w:cs="仿宋"/>
          <w:sz w:val="30"/>
          <w:szCs w:val="30"/>
        </w:rPr>
      </w:pPr>
      <w:r>
        <w:rPr>
          <w:rFonts w:hint="eastAsia" w:ascii="仿宋" w:hAnsi="仿宋" w:eastAsia="仿宋" w:cs="仿宋"/>
          <w:b/>
          <w:i w:val="0"/>
          <w:caps w:val="0"/>
          <w:color w:val="000000"/>
          <w:spacing w:val="0"/>
          <w:kern w:val="0"/>
          <w:sz w:val="30"/>
          <w:szCs w:val="30"/>
          <w:shd w:val="clear" w:fill="FFFFFF"/>
          <w:lang w:val="en-US" w:eastAsia="zh-CN" w:bidi="ar"/>
        </w:rPr>
        <w:t>第二十一条</w:t>
      </w:r>
      <w:r>
        <w:rPr>
          <w:rFonts w:hint="eastAsia" w:ascii="仿宋" w:hAnsi="仿宋" w:eastAsia="仿宋" w:cs="仿宋"/>
          <w:b w:val="0"/>
          <w:i w:val="0"/>
          <w:caps w:val="0"/>
          <w:color w:val="000000"/>
          <w:spacing w:val="0"/>
          <w:kern w:val="0"/>
          <w:sz w:val="30"/>
          <w:szCs w:val="30"/>
          <w:shd w:val="clear" w:fill="FFFFFF"/>
          <w:lang w:val="en-US" w:eastAsia="zh-CN" w:bidi="ar"/>
        </w:rPr>
        <w:t>  本指引自发布之日起实施。</w:t>
      </w:r>
    </w:p>
    <w:p>
      <w:pPr>
        <w:keepNext w:val="0"/>
        <w:keepLines w:val="0"/>
        <w:pageBreakBefore w:val="0"/>
        <w:widowControl w:val="0"/>
        <w:kinsoku/>
        <w:overflowPunct/>
        <w:topLinePunct w:val="0"/>
        <w:autoSpaceDE/>
        <w:autoSpaceDN/>
        <w:bidi w:val="0"/>
        <w:adjustRightInd/>
        <w:snapToGrid/>
        <w:spacing w:beforeAutospacing="0" w:afterAutospacing="0" w:line="240" w:lineRule="auto"/>
        <w:ind w:left="0" w:leftChars="0" w:right="0" w:rightChars="0"/>
        <w:jc w:val="both"/>
        <w:textAlignment w:val="auto"/>
        <w:outlineLvl w:val="9"/>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DB17D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ヾ左岸の烟づ</cp:lastModifiedBy>
  <dcterms:modified xsi:type="dcterms:W3CDTF">2018-01-04T05:03:30Z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